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widowControl w:val="0"/>
        <w:spacing w:after="240" w:before="240" w:lineRule="auto"/>
        <w:rPr>
          <w:rFonts w:ascii="Montserrat" w:cs="Montserrat" w:eastAsia="Montserrat" w:hAnsi="Montserrat"/>
          <w:b w:val="1"/>
          <w:color w:val="27c0ca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27c0ca"/>
          <w:sz w:val="44"/>
          <w:szCs w:val="44"/>
          <w:rtl w:val="0"/>
        </w:rPr>
        <w:t xml:space="preserve">Atividade Avaliativa: Preenchimento da segunda parte do Canvas de Modelo de Negócio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Nomes dos(as) integrantes da equipe: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jc w:val="both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Adicionem uma foto legível do Canvas de Modelo de Negócio completo (com os nove campos preenchidos).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Fonts w:ascii="Inter" w:cs="Inter" w:eastAsia="Inter" w:hAnsi="Inter"/>
          <w:b w:val="1"/>
          <w:rtl w:val="0"/>
        </w:rPr>
        <w:t xml:space="preserve">Escrevam detalhadamente os conteúdos dos blocos de Receitas e Custos:</w:t>
      </w:r>
    </w:p>
    <w:p w:rsidR="00000000" w:rsidDel="00000000" w:rsidP="00000000" w:rsidRDefault="00000000" w:rsidRPr="00000000" w14:paraId="00000013">
      <w:pPr>
        <w:spacing w:after="20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Receitas: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Custos: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59" w:lineRule="auto"/>
        <w:ind w:left="720" w:hanging="360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Ao final, salvem ou baixem o arquivo e entreguem-no </w:t>
      </w:r>
      <w:r w:rsidDel="00000000" w:rsidR="00000000" w:rsidRPr="00000000">
        <w:rPr>
          <w:rtl w:val="0"/>
        </w:rPr>
        <w:t xml:space="preserve">de acordo com o que foi combinado com o(a) seu professor(a) e/ou mentor(a)</w:t>
      </w:r>
      <w:r w:rsidDel="00000000" w:rsidR="00000000" w:rsidRPr="00000000">
        <w:rPr>
          <w:rFonts w:ascii="Inter" w:cs="Inter" w:eastAsia="Inter" w:hAnsi="Inter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pict>
        <v:shape id="WordPictureWatermark1" style="position:absolute;width:595.8749606299212pt;height:842.3414960629922pt;rotation:0;z-index:-503316481;mso-position-horizontal-relative:margin;mso-position-horizontal:absolute;margin-left:-72.0pt;mso-position-vertical-relative:margin;mso-position-vertical:absolute;margin-top:-72.0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Inter" w:cs="Inter" w:eastAsia="Inter" w:hAnsi="Inter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52GoNb9TuAMY5gnYl5gj1KpfaQ==">CgMxLjAyCGguZ2pkZ3hzOABqKAoUc3VnZ2VzdC44NnplN2huM2JoM3YSEEFseW5lIEdvbsOnYWx2ZXNqKAoUc3VnZ2VzdC4yazkzbTZxd3g0bGUSEEFseW5lIEdvbsOnYWx2ZXNqKAoUc3VnZ2VzdC5ka3Z4ZjM3dTA5Y3gSEEFseW5lIEdvbsOnYWx2ZXNqJwoTc3VnZ2VzdC5odjQ2dXI5bnBrMhIQQWx5bmUgR29uw6dhbHZlc2ooChRzdWdnZXN0LnRnOXQxZWx2dmVlOBIQQWx5bmUgR29uw6dhbHZlc3IhMTNlWl9raDJXZmdzeUZRNl9PTVp5RFh6aGZhT1lpT0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